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E3" w:rsidRPr="000616E3" w:rsidRDefault="000616E3" w:rsidP="000616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616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fldChar w:fldCharType="begin"/>
      </w:r>
      <w:r w:rsidRPr="000616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instrText xml:space="preserve"> HYPERLINK "http://timso.koippo.kr.ua/hmura10/z-dosvidu-vykorystannya-informatsijno-kompyuternyh-tehnolohij-na-urokah-fizyky/" </w:instrText>
      </w:r>
      <w:r w:rsidRPr="000616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fldChar w:fldCharType="separate"/>
      </w:r>
      <w:proofErr w:type="gramStart"/>
      <w:r w:rsidRPr="000616E3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</w:rPr>
        <w:t>З</w:t>
      </w:r>
      <w:proofErr w:type="gramEnd"/>
      <w:r w:rsidRPr="000616E3"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  <w:u w:val="single"/>
        </w:rPr>
        <w:t xml:space="preserve"> досвіду використання інформаційно-комп’ютерних технологій на уроках фізики</w:t>
      </w:r>
      <w:r w:rsidRPr="000616E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fldChar w:fldCharType="end"/>
      </w:r>
    </w:p>
    <w:p w:rsidR="000616E3" w:rsidRPr="000616E3" w:rsidRDefault="000616E3" w:rsidP="0006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Публікації від timso" w:history="1">
        <w:r w:rsidRPr="00061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timso</w:t>
        </w:r>
      </w:hyperlink>
    </w:p>
    <w:p w:rsidR="000616E3" w:rsidRPr="000616E3" w:rsidRDefault="000616E3" w:rsidP="0006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Подивитись всі публікації в Секція - 1" w:history="1">
        <w:r w:rsidRPr="00061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Секція - 1</w:t>
        </w:r>
      </w:hyperlink>
    </w:p>
    <w:p w:rsidR="000616E3" w:rsidRPr="000616E3" w:rsidRDefault="000616E3" w:rsidP="00061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comment-area" w:history="1">
        <w:r w:rsidRPr="00061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коментарі</w:t>
        </w:r>
      </w:hyperlink>
    </w:p>
    <w:p w:rsidR="000616E3" w:rsidRPr="000616E3" w:rsidRDefault="000616E3" w:rsidP="000616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16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</w:t>
      </w:r>
      <w:proofErr w:type="gramEnd"/>
      <w:r w:rsidRPr="000616E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досвіду використання інформаційно-комп’ютерних технологій на уроках фізики 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18665</wp:posOffset>
            </wp:positionH>
            <wp:positionV relativeFrom="paragraph">
              <wp:posOffset>-855</wp:posOffset>
            </wp:positionV>
            <wp:extent cx="2683070" cy="1468800"/>
            <wp:effectExtent l="19050" t="0" r="2980" b="0"/>
            <wp:wrapSquare wrapText="bothSides"/>
            <wp:docPr id="1" name="Рисунок 1" descr="З досвіду використання інформаційно-комп’ютерних технологій на уроках фізи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 досвіду використання інформаційно-комп’ютерних технологій на уроках фізи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70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При використанні ЕОМ на уроках фізики переслідуються такі цілі в навчанні:</w:t>
      </w:r>
    </w:p>
    <w:p w:rsidR="000616E3" w:rsidRPr="000616E3" w:rsidRDefault="000616E3" w:rsidP="00061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розширити політехнічні знання учні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6E3" w:rsidRPr="000616E3" w:rsidRDefault="000616E3" w:rsidP="00061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узагальнити вивчений матеріал;</w:t>
      </w:r>
    </w:p>
    <w:p w:rsidR="000616E3" w:rsidRPr="000616E3" w:rsidRDefault="000616E3" w:rsidP="00061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виділити головне;</w:t>
      </w:r>
    </w:p>
    <w:p w:rsidR="000616E3" w:rsidRPr="000616E3" w:rsidRDefault="000616E3" w:rsidP="00061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виробити в учня вміння робити розрахунки типових задач;</w:t>
      </w:r>
    </w:p>
    <w:p w:rsidR="000616E3" w:rsidRPr="000616E3" w:rsidRDefault="000616E3" w:rsidP="000616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протестувати знання з основних розділів фізики.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ЕОМ на уроках дає можливість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ідняти процес навчання на якісно новий рівень. Знання в галузі комп’ютерної техніки вже стають елементами технічної культури учнів, систематизують мислення, допомагають логічно мислити. Я використовую ЕОМ на уроках фізики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таких напрямках:</w:t>
      </w:r>
    </w:p>
    <w:p w:rsidR="000616E3" w:rsidRPr="000616E3" w:rsidRDefault="000616E3" w:rsidP="00061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Програмоване навчання;</w:t>
      </w:r>
    </w:p>
    <w:p w:rsidR="000616E3" w:rsidRPr="000616E3" w:rsidRDefault="000616E3" w:rsidP="00061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Машинний контроль знань учні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6E3" w:rsidRPr="000616E3" w:rsidRDefault="000616E3" w:rsidP="00061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Обробка результатів експерименту;</w:t>
      </w:r>
    </w:p>
    <w:p w:rsidR="000616E3" w:rsidRPr="000616E3" w:rsidRDefault="000616E3" w:rsidP="00061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Використання програм, що моделюють фізичні процеси, які не спостерігаються в реальних умовах;</w:t>
      </w:r>
    </w:p>
    <w:p w:rsidR="000616E3" w:rsidRPr="000616E3" w:rsidRDefault="000616E3" w:rsidP="00061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Комп’ютерне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ідження приладів, законів теорії на основі ППЗ.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Кабінет фізики Користівської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школи ма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є змогу використовувати  наступні ППЗ, виробником яких є фірма «Квазар-мікро».</w:t>
      </w:r>
    </w:p>
    <w:p w:rsidR="000616E3" w:rsidRPr="000616E3" w:rsidRDefault="000616E3" w:rsidP="00061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ППЗ „Віртуальна фізична лабораторія. Фізика 7-9 клас”,</w:t>
      </w:r>
    </w:p>
    <w:p w:rsidR="000616E3" w:rsidRPr="000616E3" w:rsidRDefault="000616E3" w:rsidP="00061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ППЗ „Віртуальна фізична лабораторія. Фізика 10-11 клас”,</w:t>
      </w:r>
    </w:p>
    <w:p w:rsidR="000616E3" w:rsidRPr="000616E3" w:rsidRDefault="000616E3" w:rsidP="00061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ППЗ „Бібліотека електронних наочностей. Фізика 7-9 клас”,</w:t>
      </w:r>
    </w:p>
    <w:p w:rsidR="000616E3" w:rsidRPr="000616E3" w:rsidRDefault="000616E3" w:rsidP="00061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ППЗ „Фізика 8”,</w:t>
      </w:r>
    </w:p>
    <w:p w:rsidR="000616E3" w:rsidRPr="000616E3" w:rsidRDefault="000616E3" w:rsidP="00061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ППЗ „Фізика 9”.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Завданням цих методичних електронних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ібників є організація виконання віртуальних лабораторних робіт з фізики у 7-11 класах. У навчально-виховному процесі фізики даний електронний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ібник виступає як керівництво до дії учнів та як засіб планування їх навчальної діяльності та контролю навчальних досягнень.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ППЗ „Віртуальна фізична лабораторія 7-11 кл.” розроблений у повній відповідності до чинної програми та традиційного змісту навчання фізики з деяким поширенням.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Використовуючи ППЗ „Віртуальна фізична лабораторія 7-9 кл.” та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„В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іртуальна фізична лабораторія 10-11 кл.”, я отримую можливість: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Забезпечити індивідуальне та групове виконання фронтальних лабораторних робіт. Формувати експериментальні уміння та навички учнів за допомогою тренажерів при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ідготовці до виконання реальних фронтальних лабораторних робіт, використовуючи для цього інтерактивні моделі лабораторних робіт або відеофрагменти їх виконання. Використання фонду бібліотек ППЗ в сукупності із вмонтованою в нього оболонкою „Конструктор уроку” надає можливість учителеві фізики самому визначити структуру видів наочності та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ідовність її пред’явлення залежно від поставлених цілей та вибору методів їх реалізації.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2. Пропонувати учням експериментальні завдання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ізних рівнів складності, забезпечуючи диференціацію під час виконання експериментальних завдань.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3. Урізноманітнити та збагатити методичний апарат виконання фронтальних лабораторних робі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4. Використовувати як в цілому, так і окремі фрагменти віртуальних лабораторних робі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 час підготовки до виконання лабораторної роботи знайомити учнів із приладами, які використовуватимуться у процесі її виконання, використовуючи для цього інформацію, що міститься в модулях „Галерея приладів”.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іряти шляхом тестування степінь сформованості відповідних практичних умінь і навичок.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16E3">
        <w:rPr>
          <w:rFonts w:ascii="Times New Roman" w:eastAsia="Times New Roman" w:hAnsi="Times New Roman" w:cs="Times New Roman"/>
          <w:b/>
          <w:bCs/>
          <w:sz w:val="24"/>
          <w:szCs w:val="24"/>
        </w:rPr>
        <w:t>Учень, який працює з ППЗ: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1. Отримує можливість виконувати віртуальні лабораторні роботи з фізики самостійно в оптимальному для нього темпі. У режимі самонавчання ППЗ „Віртуальна фізична лабораторія 7-11 кл.” надає можливість користувачеві отримати повну інформацію про предмет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ідження, способи реалізації дослідження, прилади та обладнання, необхідні для проведення дослідження.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2. Спостерігає за процесом виконання реального лабораторного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ідження шляхом використання відеофрагмента лабораторної роботи. При цьому, використовуючи відеопаузи, самостійно керує темпом подачі відеоінформації. Використовує відеопаузи для зняття показань зі шкал приладів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,щ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о використовуються в лабораторній роботі.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3.Може спостерігати динаміку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ізних фізичних процесів, обирати складність завдань у міру його пізнавальних можливостей.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 педагогічних можливостей, на мою думку, слід відзначити:</w:t>
      </w:r>
    </w:p>
    <w:p w:rsidR="000616E3" w:rsidRPr="000616E3" w:rsidRDefault="000616E3" w:rsidP="00061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Можливість самопідготовки учня до виконання лабораторних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іджень.</w:t>
      </w:r>
    </w:p>
    <w:p w:rsidR="000616E3" w:rsidRPr="000616E3" w:rsidRDefault="000616E3" w:rsidP="00061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Скорочення часу для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ідготовки до виконання лабораторних робіт.</w:t>
      </w:r>
    </w:p>
    <w:p w:rsidR="000616E3" w:rsidRPr="000616E3" w:rsidRDefault="000616E3" w:rsidP="00061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Формування орієнтовних основ діяльності при виконання лабораторних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іджень.</w:t>
      </w:r>
    </w:p>
    <w:p w:rsidR="000616E3" w:rsidRPr="000616E3" w:rsidRDefault="000616E3" w:rsidP="00061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Самоконтроль результатів діяльності в процесі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ідготовки і виконання лабораторних досліджень.</w:t>
      </w:r>
    </w:p>
    <w:p w:rsidR="000616E3" w:rsidRPr="000616E3" w:rsidRDefault="000616E3" w:rsidP="00061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Надання можливостей отримання інформації про фізичний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і про кількісні значення фізичних величин, що його характеризують (характер їх зміни) – відеофрагменти.</w:t>
      </w:r>
    </w:p>
    <w:p w:rsidR="000616E3" w:rsidRPr="000616E3" w:rsidRDefault="000616E3" w:rsidP="000616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Безпосередня участь учня в процесі виконання лабораторного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ідження – інтерактивні моделі лабораторних робіт.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Така побудова ППЗ дає можливість досягнути таких педагогічних цілей:</w:t>
      </w:r>
    </w:p>
    <w:p w:rsidR="000616E3" w:rsidRPr="000616E3" w:rsidRDefault="000616E3" w:rsidP="00061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Здійснення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ідтримки групових, індивідуальних, індивідуально-групових форм навчання під час вивчення фізики в умовах класно-урочної системи організації навчального процесу.</w:t>
      </w:r>
    </w:p>
    <w:p w:rsidR="000616E3" w:rsidRPr="000616E3" w:rsidRDefault="000616E3" w:rsidP="00061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Створення умов для комп’ютерної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ідтримки традиційних і новаторських технологій навчання фізики.</w:t>
      </w:r>
    </w:p>
    <w:p w:rsidR="000616E3" w:rsidRPr="000616E3" w:rsidRDefault="000616E3" w:rsidP="00061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ідвищення ефективності формування практичних знань, умінь, навичок проведення фізичних досліджень.</w:t>
      </w:r>
    </w:p>
    <w:p w:rsidR="000616E3" w:rsidRPr="000616E3" w:rsidRDefault="000616E3" w:rsidP="000616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Створення умов для здійснення самоконтролю досягнутих цілей у процесі виконання лабораторних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іджень.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Очікуваний педагогічний ефект –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ідвищення якісних показників засвоєння учнями фізичних законів і закономірностей, досягнення кожним учнем реально можливого для нього рівня успішності з предмета, достатньо високий рівень сформованості умінь планувати експериментальне дослідження, користуватись лабораторним обладнанням, зокрема: визначати показання вимірювань приладів, визначати інструментальну похибку вимірювань, спостерігати хід протікання процесу й пояснювати бачене, використовуючи відповідні фізичні закони і закономірності.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b/>
          <w:bCs/>
          <w:sz w:val="24"/>
          <w:szCs w:val="24"/>
        </w:rPr>
        <w:t>ППЗ „Віртуальна фізична лабораторія 7-11 кл.” забезпечує роботу в таких режимах:</w:t>
      </w:r>
    </w:p>
    <w:p w:rsidR="000616E3" w:rsidRPr="000616E3" w:rsidRDefault="000616E3" w:rsidP="00061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а) самостійна робота учні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16E3" w:rsidRPr="000616E3" w:rsidRDefault="000616E3" w:rsidP="00061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б) проведення уроку вчителем з використанням ППЗ;</w:t>
      </w:r>
    </w:p>
    <w:p w:rsidR="000616E3" w:rsidRPr="000616E3" w:rsidRDefault="000616E3" w:rsidP="00061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в) робота учнів з ППЗ у комп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”ю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терному класі;</w:t>
      </w:r>
    </w:p>
    <w:p w:rsidR="000616E3" w:rsidRPr="000616E3" w:rsidRDefault="000616E3" w:rsidP="000616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г) конструктор урокі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У режимі самостійної роботи учнів ППЗ забезпечу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gramEnd"/>
    </w:p>
    <w:p w:rsidR="000616E3" w:rsidRPr="000616E3" w:rsidRDefault="000616E3" w:rsidP="000616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а) навігацію (переходи на наступну, попередню сторінку, на початок);</w:t>
      </w:r>
    </w:p>
    <w:p w:rsidR="000616E3" w:rsidRPr="000616E3" w:rsidRDefault="000616E3" w:rsidP="000616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б) перегляд змісту сторінки;</w:t>
      </w:r>
    </w:p>
    <w:p w:rsidR="000616E3" w:rsidRPr="000616E3" w:rsidRDefault="000616E3" w:rsidP="000616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в) перегляд та (або) інтерактивне виконання лабораторних робіт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ключених до ППЗ.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У режимі проведення уроку ППЗ забезпечу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gramEnd"/>
    </w:p>
    <w:p w:rsidR="000616E3" w:rsidRPr="000616E3" w:rsidRDefault="000616E3" w:rsidP="000616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а) вибі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розроблених та включених до ППЗ фрагментів занять;</w:t>
      </w:r>
    </w:p>
    <w:p w:rsidR="000616E3" w:rsidRPr="000616E3" w:rsidRDefault="000616E3" w:rsidP="000616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б) відтворення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ідготовлених фрагментів занять на екрані монітора, телевізора або проектора (за наявності  відповідного апаратного забезпечення).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У режимі роботи учнів у комп’ютерному класі ППЗ забезпечу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є:</w:t>
      </w:r>
      <w:proofErr w:type="gramEnd"/>
    </w:p>
    <w:p w:rsidR="000616E3" w:rsidRPr="000616E3" w:rsidRDefault="000616E3" w:rsidP="000616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а) вибі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вчителем фрагмента заняття зі списку та призначення його учням;</w:t>
      </w:r>
    </w:p>
    <w:p w:rsidR="000616E3" w:rsidRPr="000616E3" w:rsidRDefault="000616E3" w:rsidP="000616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б) завдання параметрів перегляду учнями фрагмента заняття (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івня складності, навігації, випадкового вибору завдання);</w:t>
      </w:r>
    </w:p>
    <w:p w:rsidR="000616E3" w:rsidRPr="000616E3" w:rsidRDefault="000616E3" w:rsidP="000616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в) реєстрацію учнів зі своїх робочих місць;</w:t>
      </w:r>
    </w:p>
    <w:p w:rsidR="000616E3" w:rsidRPr="000616E3" w:rsidRDefault="000616E3" w:rsidP="000616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г) відстеження вчителем проходження учнями запропонованого фрагмента заняття;</w:t>
      </w:r>
    </w:p>
    <w:p w:rsidR="000616E3" w:rsidRPr="000616E3" w:rsidRDefault="000616E3" w:rsidP="000616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д) перегляд та збереження результатів роботи учнів вчителем.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Один з напрямків використання ЕОМ в навчально-виховному процесі є моделювання фізичних процесів, які не спостерігаються в реальних умовах засобами програмування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ак мною створені програми для моделювання закону збереження і перетворення енергії в механічних процесах. Розроблено фізичний аналіз процесу падіння тіла, постановку задачі, математичну модель явища, створена програма на мові програмування Pascal.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При введенні з клавіатури ЕОМ значення висоти, з якої падає тіло, та маси тіла отримаємо дані потенціальних та кінетичних енергій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ід час вільного падіння тіла. Виведення даних здійснено так, щоб учень міг бачити значення потенціальної та кінетичної енергії при вільному падіні в окремих точках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траєктор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ії та відразу ж обчислити суму потенціальної та кінетичної енергії. Так, наприклад, при m = 2 кг h</w:t>
      </w:r>
      <w:r w:rsidRPr="000616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0  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= 10 м комп’ютер надасть такі значення:</w:t>
      </w:r>
    </w:p>
    <w:p w:rsidR="000616E3" w:rsidRPr="000616E3" w:rsidRDefault="000616E3" w:rsidP="000616E3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200 Дж, К = 0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198 Дж, К = 2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192 Дж, К = 8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182 Дж, К = 18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168 Дж, К = 32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150 Дж, К = 50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128 Дж, К = 72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                      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102 Дж, К = 98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72Дж, К = 128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                                           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38 Дж, К = 162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0 Дж, К = 200 Дж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Увівши декілька інших значень маси та початкової висоти, з якої падає тіло, учні пересвідчуються, що сума потенціальної та кінетичної енергій при вільному падінні тіл у будь-якій точці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траєктор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ії є сталою величиною.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Використовувати даний програмний продукт можна в 9 класі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 час вивчення закону збереження та перетворення енергії в механічних процесах або в 11 класі під час узагальнюючого повторення матеріалу, ознайомивши учнів із середовищем Turbo Pascal.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Використовуючи пакет ППЗ на уроках геометричної оптики пропоную учням самостійно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ідити ті чи інші закономірності, зокрема з’ясувати як впливає моделювання кута падіння на кут відбивання і заломлення; визначити залежність кута заломлення від коефіцієнта заломлення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чні моделюють дослід по зміні кута падіння, а отже кута відбивання і заломлення в залежності від коефіцієнта заломлення. Так,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куті падіння 60</w:t>
      </w:r>
      <w:r w:rsidRPr="000616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видно, що кут заломлення становить 32</w:t>
      </w:r>
      <w:r w:rsidRPr="000616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при  n=1,6.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>При збільшенні коефіцієнта заломлення учні самостійно роблять висновок, що кут заломлення зменшується. Так, при n = 1,9  Lβ=29</w:t>
      </w:r>
      <w:r w:rsidRPr="000616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= 2 Lβ=28</w:t>
      </w:r>
      <w:r w:rsidRPr="000616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. Використовуючи даний пакет прикладного програмного забезпечення учні викликають довідник з фізики і самостійно, залежно від власного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івня знань знайомляться з теоретичним матеріалом даної теми. При умові, що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іал учні засвоїли, ППЗ передбачає ряд запитань по даній темі.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При вивченні  дисперсії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ітла учні з’ясовують залежність довжини світлової хвилі (кольору світла) від зміщення спектру. Так, при λ = 700нм зміщення на екрані дисплея становить 2мм (для червоного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ітла); для зеленого світла (λ = 536нм) зміщення становить 5мм; для фіолетового світла (λ = 403нм) зміщення становить 8мм. Учні самостійно роблять висновок про залежність кольорів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ітла від заломлення в збиральній лінзі. При необхідності можна накласти вибрані кольори на одну картину і зробити висновки про крайні кольори спектра (червоний, фіолетовий).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При вивченні інтерференції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ітла учні можуть дослідити залежність інтерфераційної картини від довжини хвилі (кольору світла). Так, при λ=415нм (колі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фіолетовий) інтерфераційний максимум становить 0,4мм. При збільшенні довжини хвилі учні спостерігають збільшення  інтерфераційних максимумів: λ = 597нм (жовтий), зміщення становить 0,5 мм; λ = 690нм (червоний), зміщення 0,55мм.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Можна також з’ясувати залежність інтерфераційної картини від відстані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щілинами – d. Так, при 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>λ = 583нм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>d=1,0мм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відстань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інтерфераційними максимумами становить 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>1,2мм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; при 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>d=2мм, l=0,6мм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>d=3мм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>l=0,4мм.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Учні роблять самостійний власний висновок залежності інтерференційних максимумів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 довжини світлової хвилі, відстані між щілинами та відстанями між щілинами та екраном за відповідною формулою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l= 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λ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 .    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При вивченні квантової фізики, зокрема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іду Резерфорда можна продемонструвати рух частинок, їх траєкторію в залежності від відстані даної частинки до ядра атома важких металів. Учні безпосередньо мають можливість спостерігати рух α-частинки та її траєкторію в залежності від відстані між α-частинкою та ядрами важких металів (r</w:t>
      </w:r>
      <w:r w:rsidRPr="000616E3">
        <w:rPr>
          <w:rFonts w:ascii="Times New Roman" w:eastAsia="Times New Roman" w:hAnsi="Times New Roman" w:cs="Times New Roman"/>
          <w:sz w:val="24"/>
          <w:szCs w:val="24"/>
          <w:vertAlign w:val="subscript"/>
        </w:rPr>
        <w:t>min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). Можна на окремо взятому малюнку для кожного конкретного випадку при заданій швидкості руху α-частинки – v</w:t>
      </w:r>
      <w:r w:rsidRPr="000616E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 </w:t>
      </w:r>
      <w:r w:rsidRPr="000616E3">
        <w:rPr>
          <w:rFonts w:ascii="Times New Roman" w:eastAsia="Times New Roman" w:hAnsi="Times New Roman" w:cs="Times New Roman"/>
          <w:sz w:val="24"/>
          <w:szCs w:val="24"/>
        </w:rPr>
        <w:t>, відстані α-частинки від ядра атома золота визначити кут відхилення від прямолінійного поширення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 та мінімальної відстані між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α-частинками та ядром золота.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 xml:space="preserve">ід можна моделювати з різними швидкостями і з’ясовувати залежність кута зміщення та мінімальної відстані від швидкості руху. Учням пропонується побудувати графік залежності відстані між 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α-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частинкою та ядром атома золота і кутом відхилення. Вони на основі знятих комп’ютерних даних будують самостійно графі</w:t>
      </w:r>
      <w:proofErr w:type="gramStart"/>
      <w:r w:rsidRPr="000616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616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6E3" w:rsidRPr="000616E3" w:rsidRDefault="000616E3" w:rsidP="00061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6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Відомості про автора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2535"/>
        <w:gridCol w:w="2880"/>
        <w:gridCol w:w="2340"/>
      </w:tblGrid>
      <w:tr w:rsidR="000616E3" w:rsidRPr="000616E3" w:rsidTr="000616E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0616E3" w:rsidRPr="000616E3" w:rsidRDefault="000616E3" w:rsidP="000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16E3">
              <w:rPr>
                <w:rFonts w:ascii="Times New Roman" w:eastAsia="Times New Roman" w:hAnsi="Times New Roman" w:cs="Times New Roman"/>
                <w:b/>
                <w:bCs/>
                <w:sz w:val="11"/>
              </w:rPr>
              <w:t>П</w:t>
            </w:r>
            <w:proofErr w:type="gramEnd"/>
            <w:r w:rsidRPr="000616E3">
              <w:rPr>
                <w:rFonts w:ascii="Times New Roman" w:eastAsia="Times New Roman" w:hAnsi="Times New Roman" w:cs="Times New Roman"/>
                <w:b/>
                <w:bCs/>
                <w:sz w:val="11"/>
              </w:rPr>
              <w:t>ІБ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0616E3" w:rsidRPr="000616E3" w:rsidRDefault="000616E3" w:rsidP="000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E3">
              <w:rPr>
                <w:rFonts w:ascii="Times New Roman" w:eastAsia="Times New Roman" w:hAnsi="Times New Roman" w:cs="Times New Roman"/>
                <w:b/>
                <w:bCs/>
                <w:sz w:val="11"/>
              </w:rPr>
              <w:t>ПОСАДА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0616E3" w:rsidRPr="000616E3" w:rsidRDefault="000616E3" w:rsidP="000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E3">
              <w:rPr>
                <w:rFonts w:ascii="Times New Roman" w:eastAsia="Times New Roman" w:hAnsi="Times New Roman" w:cs="Times New Roman"/>
                <w:b/>
                <w:bCs/>
                <w:sz w:val="11"/>
              </w:rPr>
              <w:t>НАЗВА НАВЧАЛЬНОГО ЗАКЛАДУ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8FF"/>
            <w:hideMark/>
          </w:tcPr>
          <w:p w:rsidR="000616E3" w:rsidRPr="000616E3" w:rsidRDefault="000616E3" w:rsidP="000616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E3">
              <w:rPr>
                <w:rFonts w:ascii="Times New Roman" w:eastAsia="Times New Roman" w:hAnsi="Times New Roman" w:cs="Times New Roman"/>
                <w:b/>
                <w:bCs/>
                <w:sz w:val="11"/>
              </w:rPr>
              <w:t>НАЗВА СТАТТІ</w:t>
            </w:r>
          </w:p>
        </w:tc>
      </w:tr>
      <w:tr w:rsidR="000616E3" w:rsidRPr="000616E3" w:rsidTr="000616E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6E3" w:rsidRPr="000616E3" w:rsidRDefault="000616E3" w:rsidP="0006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Правий</w:t>
            </w:r>
            <w:proofErr w:type="gramStart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В</w:t>
            </w:r>
            <w:proofErr w:type="gramEnd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іктор Павлович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6E3" w:rsidRPr="000616E3" w:rsidRDefault="000616E3" w:rsidP="0006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директор  школи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6E3" w:rsidRPr="000616E3" w:rsidRDefault="000616E3" w:rsidP="0006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Користівська загальноосвітня школа І-ІІІ ступені</w:t>
            </w:r>
            <w:proofErr w:type="gramStart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в</w:t>
            </w:r>
            <w:proofErr w:type="gramEnd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і</w:t>
            </w:r>
            <w:proofErr w:type="gramStart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мен</w:t>
            </w:r>
            <w:proofErr w:type="gramEnd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і А.П.Гайдара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6E3" w:rsidRPr="000616E3" w:rsidRDefault="000616E3" w:rsidP="0006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>З</w:t>
            </w:r>
            <w:proofErr w:type="gramEnd"/>
            <w:r w:rsidRPr="000616E3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досвіду використання інформаційно-комп’ютерних технологій на уроках фізики</w:t>
            </w:r>
          </w:p>
        </w:tc>
      </w:tr>
    </w:tbl>
    <w:p w:rsidR="005E31B5" w:rsidRDefault="005E31B5"/>
    <w:sectPr w:rsidR="005E31B5" w:rsidSect="000616E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034"/>
    <w:multiLevelType w:val="multilevel"/>
    <w:tmpl w:val="8B0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F1F65"/>
    <w:multiLevelType w:val="multilevel"/>
    <w:tmpl w:val="48C2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0989"/>
    <w:multiLevelType w:val="multilevel"/>
    <w:tmpl w:val="25F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0F0B"/>
    <w:multiLevelType w:val="multilevel"/>
    <w:tmpl w:val="A7E2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61C79"/>
    <w:multiLevelType w:val="multilevel"/>
    <w:tmpl w:val="EEE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55739"/>
    <w:multiLevelType w:val="multilevel"/>
    <w:tmpl w:val="BA6A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1344B"/>
    <w:multiLevelType w:val="multilevel"/>
    <w:tmpl w:val="BFD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3575D"/>
    <w:multiLevelType w:val="multilevel"/>
    <w:tmpl w:val="892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52DA7"/>
    <w:multiLevelType w:val="multilevel"/>
    <w:tmpl w:val="4DF8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0616E3"/>
    <w:rsid w:val="000616E3"/>
    <w:rsid w:val="005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6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616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616E3"/>
    <w:rPr>
      <w:i/>
      <w:iCs/>
    </w:rPr>
  </w:style>
  <w:style w:type="character" w:styleId="a6">
    <w:name w:val="Strong"/>
    <w:basedOn w:val="a0"/>
    <w:uiPriority w:val="22"/>
    <w:qFormat/>
    <w:rsid w:val="000616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o.koippo.kr.ua/hmura10/wp-content/uploads/2014/10/Praviy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mso.koippo.kr.ua/hmura10/z-dosvidu-vykorystannya-informatsijno-kompyuternyh-tehnolohij-na-urokah-fizy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so.koippo.kr.ua/hmura10/category/sektsiji-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imso.koippo.kr.ua/hmura10/author/tims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2015-02-27T08:43:00Z</dcterms:created>
  <dcterms:modified xsi:type="dcterms:W3CDTF">2015-02-27T08:44:00Z</dcterms:modified>
</cp:coreProperties>
</file>